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rPr>
        <w:t>新疆维吾尔自治区2025年度面向社会公开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考试录用公务员公共科目笔试考试大纲</w:t>
      </w:r>
    </w:p>
    <w:bookmarkEnd w:id="0"/>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公共科目笔试是公务员录用工作的重要环节，为便于报考者充分了解新疆维吾尔自治区</w:t>
      </w:r>
      <w:r>
        <w:rPr>
          <w:rFonts w:hint="default" w:ascii="Times New Roman" w:hAnsi="Times New Roman" w:eastAsia="仿宋_GB2312" w:cs="Times New Roman"/>
          <w:sz w:val="32"/>
          <w:szCs w:val="32"/>
        </w:rPr>
        <w:t>2025</w:t>
      </w:r>
      <w:r>
        <w:rPr>
          <w:rFonts w:hint="eastAsia" w:ascii="仿宋_GB2312" w:hAnsi="仿宋_GB2312" w:eastAsia="仿宋_GB2312" w:cs="仿宋_GB2312"/>
          <w:sz w:val="32"/>
          <w:szCs w:val="32"/>
        </w:rPr>
        <w:t>年度面向社会公开考试录用公务员公共科目笔试，特制定本大纲。</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公共科目笔试内容坚持思想引领，突出公务员的政治标准和政治属性，重点测查用党的创新理论指导分析和解决问题的能力，教育引导报考者自觉做习近平新时代中国特色社会主义思想的坚定信仰者和忠实实践者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重能力导向，主要测查从事公务员工作应当具备的基本能力和基本素质，教育引导报考者注重平时学习积累和能力提升；实行分类分级，突出人事相宜，根据不同职位类别、不同层级机关的特点分别设置，提高测评的科学性精准性；坚持公平公正，对各类报考者一视同仁，试题使用素材具有通用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新疆维吾尔自治区</w:t>
      </w:r>
      <w:r>
        <w:rPr>
          <w:rFonts w:hint="default" w:ascii="Times New Roman" w:hAnsi="Times New Roman" w:eastAsia="仿宋_GB2312" w:cs="Times New Roman"/>
          <w:sz w:val="32"/>
          <w:szCs w:val="32"/>
        </w:rPr>
        <w:t>2025</w:t>
      </w:r>
      <w:r>
        <w:rPr>
          <w:rFonts w:hint="eastAsia" w:ascii="仿宋_GB2312" w:hAnsi="仿宋_GB2312" w:eastAsia="仿宋_GB2312" w:cs="仿宋_GB2312"/>
          <w:sz w:val="32"/>
          <w:szCs w:val="32"/>
        </w:rPr>
        <w:t>年度面向社会公开考试录用公务员公共科目笔试分为行政职业能力测验和申论两科，全部采用闭卷考试的方式。其中，行政职业能力测验为客观性试题，</w:t>
      </w:r>
      <w:r>
        <w:rPr>
          <w:rFonts w:hint="default" w:ascii="Times New Roman" w:hAnsi="Times New Roman" w:eastAsia="仿宋_GB2312" w:cs="Times New Roman"/>
          <w:sz w:val="32"/>
          <w:szCs w:val="32"/>
        </w:rPr>
        <w:t>考试时限120分钟，满分100分。申论为主观性试题，考试时限150分钟，满分100分。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一、行政职业能力测验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职业能力测验试卷包括“注意事项”和试题。“注意事项”是对行政职业能力测验试卷作答提出的重要指导性建议，包括试卷构成、作答时间、作答时需要特别注意的事项等。考试时，报考者应仔细阅读“注意事项”，遵守相关要求，合理把握作答时间，正确填写填涂姓名、准考证号等信息。试题分为政治理论、常识判断、言语理解与表达、数量关系、判断推理和资料分析等部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rPr>
        <w:t>（一）政治理论。</w:t>
      </w:r>
      <w:r>
        <w:rPr>
          <w:rFonts w:hint="eastAsia" w:ascii="仿宋_GB2312" w:hAnsi="仿宋_GB2312" w:eastAsia="仿宋_GB2312" w:cs="仿宋_GB2312"/>
          <w:sz w:val="32"/>
          <w:szCs w:val="32"/>
        </w:rPr>
        <w:t>主要测查报考者学习理解掌握党的创新理论及党和国家方针政策的情况。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党的二十大报告指出，要采取更多惠民生、暖民心举措，着力解决好人民群众急难愁盼问题，健全基本公共服务体系，提高公共服务水平，增强均衡性和可及性，扎实推进共同富裕。下列有关内容表述正确的是：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rPr>
        <w:t>①实施渐进式延迟法定退休年龄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②健全社保基金保值增值和安全监管体系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③加大税收、社会保障、转移支付等的调节力度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④健全终身职业技能培训制度，推动解决周期性就业矛盾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⑤深化以市场化为导向的公立医院改革，规范民营医院发展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⑥坚持房子是用来住的、不是用来炒的定位，加快建立多主体供给、多渠道保障、租购并举的住房制度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A．①②③④</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B．①②③⑥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C．②③⑤⑥</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D．①④⑤⑥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B。党的二十大报告指出，实施就业优先战略，健全终身职业技能培训制度，推动解决结构性就业矛盾；推进健康中国建设，深化以公益性为导向的公立医院改革，规范民营医院发展。因此④⑤错误。故正确答案为B。)</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rPr>
        <w:t>（二）常识判断。</w:t>
      </w:r>
      <w:r>
        <w:rPr>
          <w:rFonts w:hint="default" w:ascii="Times New Roman" w:hAnsi="Times New Roman" w:eastAsia="仿宋_GB2312" w:cs="Times New Roman"/>
          <w:sz w:val="32"/>
          <w:szCs w:val="32"/>
        </w:rPr>
        <w:t>主要测查报考者在经济、文化、社会、生态、法律、科技等方面应知应会的基本知识以及运用这些知识进行分析判断的基本能力。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下列诗句中涉及的典故人物与其时代对应不正确的一项是：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A．林暗草惊风，将军夜引弓。平明寻白羽，没在石棱中。——西汉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B．闲来垂钓碧溪上，忽复乘舟梦日边。——先秦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C．怀旧空吟闻笛赋，到乡翻似烂柯人。——东汉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D．求田问舍，怕应羞见，刘郎才气。——三国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（答案：C。</w:t>
      </w:r>
      <w:r>
        <w:rPr>
          <w:rFonts w:hint="eastAsia" w:ascii="仿宋_GB2312" w:hAnsi="仿宋_GB2312" w:eastAsia="仿宋_GB2312" w:cs="仿宋_GB2312"/>
          <w:sz w:val="32"/>
          <w:szCs w:val="32"/>
        </w:rPr>
        <w:t>怀旧空吟闻笛赋，到乡翻似烂柯人。“闻笛赋”指西晋向秀的《思旧赋》，“思旧”指的是当时被害的嵇康和吕安；“烂柯人”出自“王质烂柯”的典故（南朝·梁任昉《述异记》），故事说的是晋朝时期的砍柴人王质在山中打柴，观仙人对弈，在山中逗留片刻，人世间已经发生了巨大的变化。此句涉及典故对应的时代并非东汉。故正确答案为</w:t>
      </w:r>
      <w:r>
        <w:rPr>
          <w:rFonts w:hint="default" w:ascii="Times New Roman" w:hAnsi="Times New Roman" w:eastAsia="仿宋_GB2312" w:cs="Times New Roman"/>
          <w:sz w:val="32"/>
          <w:szCs w:val="32"/>
        </w:rPr>
        <w:t>C。)</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rPr>
        <w:t>（三）言语理解与表达。</w:t>
      </w:r>
      <w:r>
        <w:rPr>
          <w:rFonts w:hint="default" w:ascii="Times New Roman" w:hAnsi="Times New Roman" w:eastAsia="仿宋_GB2312" w:cs="Times New Roman"/>
          <w:sz w:val="32"/>
          <w:szCs w:val="32"/>
        </w:rPr>
        <w:t>主要测查报考者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常用题型：段落阅读、选词填空、语句表达、语句排序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例题1：</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数字社会中，用户已经离不开各种必须的应用软件，一些应用软件虽然是在用户知情的前提下收集用户个人信息，但很多时候用户都是被逼无奈地同意。比如，用户在下载APP后，要么同意其收集个人信息，要么放弃注册使用。这种貌似________的</w:t>
      </w:r>
      <w:r>
        <w:rPr>
          <w:rFonts w:hint="eastAsia" w:ascii="仿宋_GB2312" w:hAnsi="仿宋_GB2312" w:eastAsia="仿宋_GB2312" w:cs="仿宋_GB2312"/>
          <w:sz w:val="32"/>
          <w:szCs w:val="32"/>
        </w:rPr>
        <w:t>“二选一”，实际上是通过霸王条款限制了用户的选择</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填入划横线部分最恰当的一项是：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A．自由</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B．公平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C．恰当</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D．均等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（答案：A。根据文意，</w:t>
      </w:r>
      <w:r>
        <w:rPr>
          <w:rFonts w:hint="eastAsia" w:ascii="仿宋_GB2312" w:hAnsi="仿宋_GB2312" w:eastAsia="仿宋_GB2312" w:cs="仿宋_GB2312"/>
          <w:sz w:val="32"/>
          <w:szCs w:val="32"/>
        </w:rPr>
        <w:t>横线处应填入与此文段末尾处的动词“限制”意义相反的词语。“自由”意为“不受限制和阻碍”，与“限制”构成反义。“公平”“恰当”“均等”的反义，均不是“限制”。故正确答案为</w:t>
      </w:r>
      <w:r>
        <w:rPr>
          <w:rFonts w:hint="default" w:ascii="Times New Roman" w:hAnsi="Times New Roman" w:eastAsia="仿宋_GB2312" w:cs="Times New Roman"/>
          <w:sz w:val="32"/>
          <w:szCs w:val="32"/>
        </w:rPr>
        <w:t>A。)</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例题2：</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①已经投入应用的主要是针对健康人群开发的、精准性稍差一些的非植入式设备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②到目前为止，科学家们已经发明了多种获取脑电波的设备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③近些年来，科学家们则在开发用于特殊病人的植入式设备上花费了大量精力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④但基于安全性、伦理性等方面的考虑，一直没有在人类的临床上取得突破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⑤这类设备被称为脑机芯片或干脆简称为脑机接口，它能获得更加精准的脑电信息，也能将外界电信号更加精准地输入大脑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⑥然而随着人工智能相关技术和工程技术、材料技术的飞速发展，不少科学家又开始了这类尝试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将以上6个句子重新排列，语序正确的是：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A．③②①⑥⑤④</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B．③⑥④①②⑤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C．②①③⑤④⑥</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D．②④①③⑤⑥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（答案：C。观察选项，首句应为②或者③，②介绍了科学家发明了多种获取脑电波的设备，③特指了其中一类用于特殊病人的植入式设备，由此依照逻辑应先总体介绍</w:t>
      </w:r>
      <w:r>
        <w:rPr>
          <w:rFonts w:hint="eastAsia" w:ascii="仿宋_GB2312" w:hAnsi="仿宋_GB2312" w:eastAsia="仿宋_GB2312" w:cs="仿宋_GB2312"/>
          <w:sz w:val="32"/>
          <w:szCs w:val="32"/>
        </w:rPr>
        <w:t>“发明设备”</w:t>
      </w:r>
      <w:r>
        <w:rPr>
          <w:rFonts w:hint="default" w:ascii="Times New Roman" w:hAnsi="Times New Roman" w:eastAsia="仿宋_GB2312" w:cs="Times New Roman"/>
          <w:sz w:val="32"/>
          <w:szCs w:val="32"/>
        </w:rPr>
        <w:t>，再针对性介</w:t>
      </w:r>
      <w:r>
        <w:rPr>
          <w:rFonts w:hint="eastAsia" w:ascii="仿宋_GB2312" w:hAnsi="仿宋_GB2312" w:eastAsia="仿宋_GB2312" w:cs="仿宋_GB2312"/>
          <w:sz w:val="32"/>
          <w:szCs w:val="32"/>
        </w:rPr>
        <w:t>绍“开发用于特殊病人的植入式设备”，</w:t>
      </w:r>
      <w:r>
        <w:rPr>
          <w:rFonts w:hint="default" w:ascii="Times New Roman" w:hAnsi="Times New Roman" w:eastAsia="仿宋_GB2312" w:cs="Times New Roman"/>
          <w:sz w:val="32"/>
          <w:szCs w:val="32"/>
        </w:rPr>
        <w:t>在此排除③为首句的A、B选项。根据文段得知，①介绍非植入式设备，③④⑤⑥均在介绍植入式设备，且③为介绍植入式设备的总起句。按照文段逻辑，由介绍非植入式设备转入介绍植入式设备，因此①应在③④⑤⑥之前。因此上述句子的正确顺序为②①③⑤④⑥。故正确答案为C。）</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例题3：</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疗美容是指运用手术、药物、医疗器械以及其他具有创伤性或者侵入性的医学技术对人的容貌和人体各部位形态进行的修复和再塑。这个行业在迅速发展的同时，也出现了许多乱象。一些地方医疗美容机构制售假劣“水光针”“整形用注射填充物”等美容针剂、违规使用“热玛吉”“光治疗”等医疗美容设备，导致医美事故频发，甚至出现非法从业、虚假宣传、借“医美贷”实施诈骗等违法犯罪行为，给消费者身心带来巨大伤害</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这段话主要介绍的是：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A．医美行业乱象丛生</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B．医美行业发展迅速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C．医美行业虚假宣传</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D．医美行业事故频发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A。本段语料介绍了医疗美容的乱象，第二句重点强调“这个行业在迅速发展的同时，也出现了许多乱象。”后文进行举例。因此A选项正确。文段并未详细介绍医美行业的发展，排除B选项；C、D选项是医美行业乱象所举实例，并未详细展开介绍，所以排除。故正确答案为A。)</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lang w:val="en-US" w:eastAsia="zh-CN"/>
        </w:rPr>
        <w:t xml:space="preserve"> </w:t>
      </w:r>
      <w:r>
        <w:rPr>
          <w:rFonts w:hint="default" w:ascii="Times New Roman" w:hAnsi="Times New Roman" w:eastAsia="楷体" w:cs="Times New Roman"/>
          <w:sz w:val="32"/>
          <w:szCs w:val="32"/>
        </w:rPr>
        <w:t>（四）数量关系。</w:t>
      </w:r>
      <w:r>
        <w:rPr>
          <w:rFonts w:hint="default" w:ascii="Times New Roman" w:hAnsi="Times New Roman" w:eastAsia="仿宋_GB2312" w:cs="Times New Roman"/>
          <w:sz w:val="32"/>
          <w:szCs w:val="32"/>
        </w:rPr>
        <w:t>主要测查报考者理解、把握事物间量化关系和解决数量关系问题的能力，主要涉及数据关系的分析、推理、判断、运算等。常用题型：数学运算。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数学运算：</w:t>
      </w:r>
      <w:r>
        <w:rPr>
          <w:rFonts w:hint="default" w:ascii="Times New Roman" w:hAnsi="Times New Roman" w:eastAsia="仿宋_GB2312" w:cs="Times New Roman"/>
          <w:sz w:val="32"/>
          <w:szCs w:val="32"/>
        </w:rPr>
        <w:t>每道题给出一个算术式子或者表达数量关系的一段文字，要求报考者熟练运用加、减、乘、除等基本运算法则，并利用其他基本数学知识计算或推出结果。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甲买一支笔差6元，乙买这支笔差4元，甲乙两人合起来买，仍差1元，问这支笔多少钱？</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A．8元</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B．9元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C．10元</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D．11元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（答案：B。根据题干，假设这支笔为</w:t>
      </w:r>
      <w:r>
        <w:rPr>
          <w:rFonts w:hint="default" w:ascii="Times New Roman" w:hAnsi="Times New Roman" w:eastAsia="仿宋_GB2312" w:cs="Times New Roman"/>
          <w:sz w:val="32"/>
          <w:szCs w:val="32"/>
          <w:lang w:val="en-US" w:eastAsia="zh-CN"/>
        </w:rPr>
        <w:t>X</w:t>
      </w:r>
      <w:r>
        <w:rPr>
          <w:rFonts w:hint="default" w:ascii="Times New Roman" w:hAnsi="Times New Roman" w:eastAsia="仿宋_GB2312" w:cs="Times New Roman"/>
          <w:sz w:val="32"/>
          <w:szCs w:val="32"/>
        </w:rPr>
        <w:t>元。甲的钱为</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6;乙的钱为</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4;甲和乙的钱加起来是</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1。由此列出方程（</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1，解得</w:t>
      </w:r>
      <w:r>
        <w:rPr>
          <w:rFonts w:hint="default" w:ascii="Times New Roman" w:hAnsi="Times New Roman" w:eastAsia="仿宋_GB2312" w:cs="Times New Roman"/>
          <w:sz w:val="32"/>
          <w:szCs w:val="32"/>
          <w:lang w:val="en-US" w:eastAsia="zh-CN"/>
        </w:rPr>
        <w:t>X</w:t>
      </w:r>
      <w:r>
        <w:rPr>
          <w:rFonts w:hint="default" w:ascii="Times New Roman" w:hAnsi="Times New Roman" w:eastAsia="仿宋_GB2312" w:cs="Times New Roman"/>
          <w:sz w:val="32"/>
          <w:szCs w:val="32"/>
        </w:rPr>
        <w:t>=9。故正确答案为B。）</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（五）判断推理。</w:t>
      </w:r>
      <w:r>
        <w:rPr>
          <w:rFonts w:hint="default" w:ascii="Times New Roman" w:hAnsi="Times New Roman" w:eastAsia="仿宋_GB2312" w:cs="Times New Roman"/>
          <w:sz w:val="32"/>
          <w:szCs w:val="32"/>
        </w:rPr>
        <w:t>主要测查报考者对各种事物关系的分析推理能力，主要涉及对图形、语词概念、事物关系和文字材料的理解、比较、组合、演绎和归纳等。常用题型：图形推理、定义判断、逻辑判断、类比推理等。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第一种题型：图形推理。</w:t>
      </w:r>
      <w:r>
        <w:rPr>
          <w:rFonts w:hint="default" w:ascii="Times New Roman" w:hAnsi="Times New Roman" w:eastAsia="仿宋_GB2312" w:cs="Times New Roman"/>
          <w:sz w:val="32"/>
          <w:szCs w:val="32"/>
        </w:rPr>
        <w:t>每道题给出一套或两套图形，要求报考者通过观察分析找出图形排列的规律，选出符合规律的一项。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正方体切掉一块后剩余部分如下图左侧所示，右侧哪一项是其切去部分的形状？</w:t>
      </w:r>
    </w:p>
    <w:p>
      <w:pPr>
        <w:rPr>
          <w:rFonts w:hint="eastAsia" w:ascii="仿宋_GB2312" w:hAnsi="仿宋_GB2312" w:eastAsia="仿宋_GB2312" w:cs="仿宋_GB2312"/>
          <w:sz w:val="36"/>
          <w:szCs w:val="36"/>
        </w:rPr>
      </w:pPr>
      <w:r>
        <w:rPr>
          <w:rFonts w:hint="default" w:ascii="Times New Roman" w:hAnsi="Times New Roman" w:cs="Times New Roman"/>
          <w:sz w:val="32"/>
          <w:szCs w:val="32"/>
        </w:rPr>
        <w:pict>
          <v:shape id="Object 7" o:spid="_x0000_s1026" o:spt="75" type="#_x0000_t75" style="position:absolute;left:0pt;margin-left:37.8pt;margin-top:7.35pt;height:122.25pt;width:398.25pt;z-index:-251657216;mso-width-relative:page;mso-height-relative:page;" o:ole="t" filled="f" o:preferrelative="t" stroked="f" coordsize="21600,21600">
            <v:path/>
            <v:fill on="f" focussize="0,0"/>
            <v:stroke on="f"/>
            <v:imagedata r:id="rId6" o:title=""/>
            <o:lock v:ext="edit" aspectratio="t"/>
          </v:shape>
          <o:OLEObject Type="Embed" ProgID="" ShapeID="Object 7" DrawAspect="Content" ObjectID="_1468075725" r:id="rId5">
            <o:LockedField>false</o:LockedField>
          </o:OLEObject>
        </w:pict>
      </w:r>
    </w:p>
    <w:p>
      <w:pPr>
        <w:rPr>
          <w:rFonts w:hint="eastAsia" w:ascii="仿宋_GB2312" w:hAnsi="仿宋_GB2312" w:eastAsia="仿宋_GB2312" w:cs="仿宋_GB2312"/>
          <w:sz w:val="36"/>
          <w:szCs w:val="36"/>
        </w:rPr>
      </w:pPr>
    </w:p>
    <w:p>
      <w:pPr>
        <w:rPr>
          <w:rFonts w:hint="eastAsia" w:ascii="仿宋_GB2312" w:hAnsi="仿宋_GB2312" w:eastAsia="仿宋_GB2312" w:cs="仿宋_GB2312"/>
          <w:sz w:val="36"/>
          <w:szCs w:val="36"/>
        </w:rPr>
      </w:pPr>
    </w:p>
    <w:p>
      <w:pPr>
        <w:rPr>
          <w:rFonts w:hint="eastAsia" w:ascii="仿宋_GB2312" w:hAnsi="仿宋_GB2312" w:eastAsia="仿宋_GB2312" w:cs="仿宋_GB2312"/>
          <w:sz w:val="36"/>
          <w:szCs w:val="36"/>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6"/>
          <w:szCs w:val="36"/>
          <w:lang w:val="en-US" w:eastAsia="zh-CN"/>
        </w:rPr>
        <w:t xml:space="preserve">  </w:t>
      </w:r>
      <w:r>
        <w:rPr>
          <w:rFonts w:hint="default" w:ascii="Times New Roman" w:hAnsi="Times New Roman" w:eastAsia="仿宋_GB2312" w:cs="Times New Roman"/>
          <w:sz w:val="36"/>
          <w:szCs w:val="36"/>
          <w:lang w:val="en-US" w:eastAsia="zh-CN"/>
        </w:rPr>
        <w:t xml:space="preserve"> </w:t>
      </w:r>
      <w:r>
        <w:rPr>
          <w:rFonts w:hint="default" w:ascii="Times New Roman" w:hAnsi="Times New Roman" w:eastAsia="仿宋_GB2312" w:cs="Times New Roman"/>
          <w:sz w:val="32"/>
          <w:szCs w:val="32"/>
        </w:rPr>
        <w:t>（答案：B。根据题干可以知道左边的立体图形可以和选项的图形拼接成一个正方体，A选项左下角多截去了一个角，B选项可以和左图拼接成正方体，C选项右侧缺少三角形，D选项忽视了平面上的横切面。故正确答案为B。）</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第二种题型：定义判断。</w:t>
      </w:r>
      <w:r>
        <w:rPr>
          <w:rFonts w:hint="default" w:ascii="Times New Roman" w:hAnsi="Times New Roman" w:eastAsia="仿宋_GB2312" w:cs="Times New Roman"/>
          <w:sz w:val="32"/>
          <w:szCs w:val="32"/>
        </w:rPr>
        <w:t>每道题先对相关概念进行定义，然后分别列出四种情况，要求报考者严格依据定义选出一个最符合或最不符合该定义的答案。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时间感知扭曲是指对时间不正确的知觉。在生活中，受各种因素影响，人们对时间的感知往往会不符合实际，有时候觉得时间过长，有时候觉得时间太短。许多原因都可以造成时间感知扭曲，现实中一场糟糕的表演会让人如坐针毡、觉得终场遥遥无期，与此相反的是，人们对于美好愉悦的时光总嫌太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根据上述定义，下列选项不符合时间感知扭曲的是：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A．一日不见，如三月兮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B．欢愉嫌夜短，寂寞恨更长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C．孤馆度日如年，风露渐变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D．入春才七日，离家已二年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（答案：D。时间感知扭曲是指主体对时间的感知不符合实际，因为主观因素觉得时间过得或快或慢。A</w:t>
      </w:r>
      <w:r>
        <w:rPr>
          <w:rFonts w:hint="eastAsia" w:ascii="仿宋_GB2312" w:hAnsi="仿宋_GB2312" w:eastAsia="仿宋_GB2312" w:cs="仿宋_GB2312"/>
          <w:sz w:val="32"/>
          <w:szCs w:val="32"/>
        </w:rPr>
        <w:t>项“一日不见，如三月兮”，主体认为一天就好像三个月那么漫长，并不是真的过了三个月，符合定</w:t>
      </w:r>
      <w:r>
        <w:rPr>
          <w:rFonts w:hint="default" w:ascii="Times New Roman" w:hAnsi="Times New Roman" w:eastAsia="仿宋_GB2312" w:cs="Times New Roman"/>
          <w:sz w:val="32"/>
          <w:szCs w:val="32"/>
        </w:rPr>
        <w:t>义；B项</w:t>
      </w:r>
      <w:r>
        <w:rPr>
          <w:rFonts w:hint="eastAsia" w:ascii="仿宋_GB2312" w:hAnsi="仿宋_GB2312" w:eastAsia="仿宋_GB2312" w:cs="仿宋_GB2312"/>
          <w:sz w:val="32"/>
          <w:szCs w:val="32"/>
        </w:rPr>
        <w:t>“欢愉嫌夜短，寂寞恨更长”，快乐时觉得时间过得很快，寂寞孤单时觉得时间过得很慢，符合定义</w:t>
      </w:r>
      <w:r>
        <w:rPr>
          <w:rFonts w:hint="default" w:ascii="Times New Roman" w:hAnsi="Times New Roman" w:eastAsia="仿宋_GB2312" w:cs="Times New Roman"/>
          <w:sz w:val="32"/>
          <w:szCs w:val="32"/>
        </w:rPr>
        <w:t>；C项</w:t>
      </w:r>
      <w:r>
        <w:rPr>
          <w:rFonts w:hint="eastAsia" w:ascii="仿宋_GB2312" w:hAnsi="仿宋_GB2312" w:eastAsia="仿宋_GB2312" w:cs="仿宋_GB2312"/>
          <w:sz w:val="32"/>
          <w:szCs w:val="32"/>
        </w:rPr>
        <w:t>“孤馆度日如年，风露渐变”，独在异乡住在驿馆里形单影只，仿佛度日如年，符合定义</w:t>
      </w:r>
      <w:r>
        <w:rPr>
          <w:rFonts w:hint="default" w:ascii="Times New Roman" w:hAnsi="Times New Roman" w:eastAsia="仿宋_GB2312" w:cs="Times New Roman"/>
          <w:sz w:val="32"/>
          <w:szCs w:val="32"/>
        </w:rPr>
        <w:t>；D项</w:t>
      </w:r>
      <w:r>
        <w:rPr>
          <w:rFonts w:hint="eastAsia" w:ascii="仿宋_GB2312" w:hAnsi="仿宋_GB2312" w:eastAsia="仿宋_GB2312" w:cs="仿宋_GB2312"/>
          <w:sz w:val="32"/>
          <w:szCs w:val="32"/>
        </w:rPr>
        <w:t>“入春才七日，离家已二年”，单纯交代时令和离家时间，今天是正月初七，离开家已经两年了，作者离家时间是写实，没有扭曲时间长短，不符合定义</w:t>
      </w:r>
      <w:r>
        <w:rPr>
          <w:rFonts w:hint="default" w:ascii="Times New Roman" w:hAnsi="Times New Roman" w:eastAsia="仿宋_GB2312" w:cs="Times New Roman"/>
          <w:sz w:val="32"/>
          <w:szCs w:val="32"/>
        </w:rPr>
        <w:t>。故正确答案为D。）</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第三种题型：逻辑判断。</w:t>
      </w:r>
      <w:r>
        <w:rPr>
          <w:rFonts w:hint="default" w:ascii="Times New Roman" w:hAnsi="Times New Roman" w:eastAsia="仿宋_GB2312" w:cs="Times New Roman"/>
          <w:sz w:val="32"/>
          <w:szCs w:val="32"/>
        </w:rPr>
        <w:t>每道题给出一段陈述，这段陈述被假设是正确的，不容置疑的。要求报考者根据这段陈述，运用一定的逻辑推论，选择一个最恰当的答案。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rPr>
        <w:t>长久以来，心理学家都支持“数学天赋论”：数学能力是人类自打娘胎里出来就有的能力，就连动物也有这种能力。他们认为存在一种天生的数学内核，通过自我慢慢发展，这种数学内核最后会“长”成我们所熟悉的一切数学能力。最近有反对者提出了不同的看法：数学能力没有天赋，只能是文化的产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以下哪项如果为真，最能支持反对者的看法：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A．绝大多数的原始部落的居民只能表示5以下甚至更少的数量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B．数学是大脑的产物，而大脑的生长模式早已由基因“预设”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C．经过人为训练的大猩猩、海豚和大象等动物能处理数学问题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D．10～12个月的婴儿已经知道3个黑点和4个黑点是不一样的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（答案：A。本题为加强论证类题目。论点为：数学能力没有天赋，只能是文化的产物。A项</w:t>
      </w:r>
      <w:r>
        <w:rPr>
          <w:rFonts w:hint="eastAsia" w:ascii="仿宋_GB2312" w:hAnsi="仿宋_GB2312" w:eastAsia="仿宋_GB2312" w:cs="仿宋_GB2312"/>
          <w:sz w:val="32"/>
          <w:szCs w:val="32"/>
        </w:rPr>
        <w:t>“绝大多数的原始部落的居民只能表示</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以下甚至更少的数量”以原始部落居民的数学能力很差为例，反驳支持者“数学能力是人类自打娘胎里出来就有的能力，就连动物也有这种能力”的观点，可以支持反对者的观点，不同文化下，相同的人具有不同的数学能力；</w:t>
      </w:r>
      <w:r>
        <w:rPr>
          <w:rFonts w:hint="default" w:ascii="Times New Roman" w:hAnsi="Times New Roman" w:eastAsia="仿宋_GB2312" w:cs="Times New Roman"/>
          <w:sz w:val="32"/>
          <w:szCs w:val="32"/>
        </w:rPr>
        <w:t>B项“数学是大脑的产物，而大脑的生长模式早已由基因‘预设’”是支持者“数学能力是人类自打娘胎里出来就有的能力”的补充，不符合题干要求；C项“经过人为训练的大猩猩、海豚和大象等动物能处理数学问题”是支持者“就连动物也有数学能力”的事例补充，不符合题干要求；D项“10～12个月的婴儿已经知道3个黑点和4个黑点是不一样的”讨论的是婴儿的数学能力，话题不一致。故A是最合适的选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第四种题型：类比推理。</w:t>
      </w:r>
      <w:r>
        <w:rPr>
          <w:rFonts w:hint="default" w:ascii="Times New Roman" w:hAnsi="Times New Roman" w:eastAsia="仿宋_GB2312" w:cs="Times New Roman"/>
          <w:sz w:val="32"/>
          <w:szCs w:val="32"/>
        </w:rPr>
        <w:t>给出一组相关的词，要求通过观察分析，在备选答案中找出一组与之在逻辑关系上最为贴近或相似的词。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图书馆∶著作∶收藏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A．菜市场∶商贩∶售卖</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B．电影院∶影片∶拍摄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C．咖啡厅∶饮品∶制作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D．游乐场∶设施∶购买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（答案：C。题干中，“图书馆”是“收藏”“著作”的地方。选项中只有C项存在同样的关系：“咖啡厅”是“制作”“饮品”的地方。故正确答案为C。）</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lang w:val="en-US" w:eastAsia="zh-CN"/>
        </w:rPr>
        <w:t xml:space="preserve"> </w:t>
      </w:r>
      <w:r>
        <w:rPr>
          <w:rFonts w:hint="default" w:ascii="Times New Roman" w:hAnsi="Times New Roman" w:eastAsia="楷体" w:cs="Times New Roman"/>
          <w:sz w:val="32"/>
          <w:szCs w:val="32"/>
        </w:rPr>
        <w:t>（六）资料分析。</w:t>
      </w:r>
      <w:r>
        <w:rPr>
          <w:rFonts w:hint="default" w:ascii="Times New Roman" w:hAnsi="Times New Roman" w:eastAsia="仿宋_GB2312" w:cs="Times New Roman"/>
          <w:sz w:val="32"/>
          <w:szCs w:val="32"/>
        </w:rPr>
        <w:t>主要测查报考者对文字、数字、图表等统计性资料的综合理解与分析加工能力。常用题型：由统计性的图表、数字及文字材料构成。</w:t>
      </w:r>
    </w:p>
    <w:p>
      <w:pPr>
        <w:keepNext w:val="0"/>
        <w:keepLines w:val="0"/>
        <w:pageBreakBefore w:val="0"/>
        <w:widowControl w:val="0"/>
        <w:kinsoku/>
        <w:wordWrap/>
        <w:overflowPunct/>
        <w:topLinePunct w:val="0"/>
        <w:autoSpaceDE/>
        <w:autoSpaceDN/>
        <w:bidi w:val="0"/>
        <w:adjustRightInd/>
        <w:snapToGrid/>
        <w:spacing w:line="600" w:lineRule="exact"/>
        <w:ind w:firstLine="72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例题：</w:t>
      </w:r>
    </w:p>
    <w:p>
      <w:pPr>
        <w:jc w:val="center"/>
        <w:rPr>
          <w:rFonts w:ascii="仿宋_GB2312" w:hAnsi="华文仿宋" w:eastAsia="仿宋_GB2312"/>
          <w:color w:val="000000"/>
          <w:sz w:val="32"/>
          <w:szCs w:val="32"/>
        </w:rPr>
      </w:pPr>
      <w:r>
        <w:rPr>
          <w:rFonts w:ascii="仿宋_GB2312" w:hAnsi="华文仿宋" w:eastAsia="仿宋_GB2312"/>
          <w:color w:val="000000"/>
          <w:sz w:val="32"/>
          <w:szCs w:val="32"/>
        </w:rPr>
        <w:object>
          <v:shape id="_x0000_i1026" o:spt="75" type="#_x0000_t75" style="height:0.05pt;width:0.05pt;" o:ole="t" filled="f" stroked="f" coordsize="21600,21600">
            <v:fill on="f" focussize="0,0"/>
            <v:stroke on="f"/>
            <v:imagedata o:title=""/>
            <o:lock v:ext="edit" aspectratio="t"/>
            <w10:wrap type="none"/>
            <w10:anchorlock/>
          </v:shape>
          <o:OLEObject Type="Link" ProgID="Excel.Sheet.12" ShapeID="_x0000_i1026" UpdateMode="Always" DrawAspect="Content" ObjectID="_1468075726" r:id="rId7">
            <o:LinkType>EnhancedMetaFile</o:LinkType>
            <o:LockedField>false</o:LockedField>
          </o:OLEObject>
        </w:object>
      </w:r>
      <w:r>
        <w:rPr>
          <w:rFonts w:ascii="仿宋_GB2312" w:hAnsi="华文仿宋" w:eastAsia="仿宋_GB2312"/>
          <w:color w:val="000000"/>
          <w:sz w:val="32"/>
          <w:szCs w:val="32"/>
        </w:rPr>
        <w:object>
          <v:shape id="_x0000_i1027" o:spt="75" type="#_x0000_t75" style="height:0.05pt;width:0.05pt;" o:ole="t" filled="f" stroked="f" coordsize="21600,21600">
            <v:fill on="f" focussize="0,0"/>
            <v:stroke on="f"/>
            <v:imagedata o:title=""/>
            <o:lock v:ext="edit" aspectratio="t"/>
            <w10:wrap type="none"/>
            <w10:anchorlock/>
          </v:shape>
          <o:OLEObject Type="Link" ProgID="Excel.Sheet.12" ShapeID="_x0000_i1027" UpdateMode="Always" DrawAspect="Content" ObjectID="_1468075727" r:id="rId7">
            <o:LinkType>EnhancedMetaFile</o:LinkType>
            <o:LockedField>false</o:LockedField>
          </o:OLEObject>
        </w:object>
      </w:r>
      <w:r>
        <w:rPr>
          <w:rFonts w:ascii="仿宋_GB2312" w:hAnsi="华文仿宋" w:eastAsia="仿宋_GB2312"/>
          <w:color w:val="000000"/>
          <w:sz w:val="32"/>
          <w:szCs w:val="32"/>
        </w:rPr>
        <w:object>
          <v:shape id="_x0000_i1028" o:spt="75" type="#_x0000_t75" style="height:0.05pt;width:0.05pt;" o:ole="t" filled="f" stroked="f" coordsize="21600,21600">
            <v:fill on="f" focussize="0,0"/>
            <v:stroke on="f"/>
            <v:imagedata o:title=""/>
            <o:lock v:ext="edit" aspectratio="t"/>
            <w10:wrap type="none"/>
            <w10:anchorlock/>
          </v:shape>
          <o:OLEObject Type="Link" ProgID="Excel.Sheet.12" ShapeID="_x0000_i1028" UpdateMode="Always" DrawAspect="Content" ObjectID="_1468075728" r:id="rId7">
            <o:LinkType>EnhancedMetaFile</o:LinkType>
            <o:LockedField>false</o:LockedField>
          </o:OLEObject>
        </w:object>
      </w:r>
      <w:r>
        <w:rPr>
          <w:rFonts w:ascii="仿宋_GB2312" w:hAnsi="华文仿宋" w:eastAsia="仿宋_GB2312"/>
          <w:color w:val="000000"/>
          <w:sz w:val="32"/>
          <w:szCs w:val="32"/>
        </w:rPr>
        <w:object>
          <v:shape id="_x0000_i1029" o:spt="75" type="#_x0000_t75" style="height:0.05pt;width:0.05pt;" o:ole="t" filled="f" stroked="f" coordsize="21600,21600">
            <v:fill on="f" focussize="0,0"/>
            <v:stroke on="f"/>
            <v:imagedata o:title=""/>
            <o:lock v:ext="edit" aspectratio="t"/>
            <w10:wrap type="none"/>
            <w10:anchorlock/>
          </v:shape>
          <o:OLEObject Type="Link" ProgID="Excel.Sheet.12" ShapeID="_x0000_i1029" UpdateMode="Always" DrawAspect="Content" ObjectID="_1468075729" r:id="rId7">
            <o:LinkType>EnhancedMetaFile</o:LinkType>
            <o:LockedField>false</o:LockedField>
          </o:OLEObject>
        </w:object>
      </w:r>
      <w:r>
        <w:rPr>
          <w:rFonts w:ascii="仿宋_GB2312" w:hAnsi="华文仿宋" w:eastAsia="仿宋_GB2312"/>
          <w:color w:val="000000"/>
          <w:sz w:val="32"/>
          <w:szCs w:val="32"/>
        </w:rPr>
        <w:object>
          <v:shape id="_x0000_i1030" o:spt="75" type="#_x0000_t75" style="height:0.05pt;width:0.05pt;" o:ole="t" filled="f" stroked="f" coordsize="21600,21600">
            <v:fill on="f" focussize="0,0"/>
            <v:stroke on="f"/>
            <v:imagedata o:title=""/>
            <o:lock v:ext="edit" aspectratio="t"/>
            <w10:wrap type="none"/>
            <w10:anchorlock/>
          </v:shape>
          <o:OLEObject Type="Link" ProgID="Excel.Sheet.12" ShapeID="_x0000_i1030" UpdateMode="Always" DrawAspect="Content" ObjectID="_1468075730" r:id="rId7">
            <o:LinkType>EnhancedMetaFile</o:LinkType>
            <o:LockedField>false</o:LockedField>
          </o:OLEObject>
        </w:object>
      </w:r>
      <w:r>
        <w:rPr>
          <w:rFonts w:ascii="仿宋_GB2312" w:hAnsi="华文仿宋" w:eastAsia="仿宋_GB2312"/>
          <w:color w:val="000000"/>
          <w:sz w:val="32"/>
          <w:szCs w:val="32"/>
        </w:rPr>
        <w:object>
          <v:shape id="_x0000_i1031" o:spt="75" type="#_x0000_t75" style="height:0.05pt;width:0.05pt;" o:ole="t" filled="f" stroked="f" coordsize="21600,21600">
            <v:fill on="f" focussize="0,0"/>
            <v:stroke on="f"/>
            <v:imagedata o:title=""/>
            <o:lock v:ext="edit" aspectratio="t"/>
            <w10:wrap type="none"/>
            <w10:anchorlock/>
          </v:shape>
          <o:OLEObject Type="Link" ProgID="Excel.Sheet.12" ShapeID="_x0000_i1031" UpdateMode="Always" DrawAspect="Content" ObjectID="_1468075731" r:id="rId7">
            <o:LinkType>EnhancedMetaFile</o:LinkType>
            <o:LockedField>false</o:LockedField>
          </o:OLEObject>
        </w:object>
      </w:r>
      <w:r>
        <w:rPr>
          <w:rFonts w:ascii="仿宋_GB2312" w:hAnsi="华文仿宋" w:eastAsia="仿宋_GB2312"/>
          <w:color w:val="000000"/>
          <w:sz w:val="32"/>
          <w:szCs w:val="32"/>
        </w:rPr>
        <w:object>
          <v:shape id="_x0000_i1032" o:spt="75" type="#_x0000_t75" style="height:0.05pt;width:0.05pt;" o:ole="t" filled="f" stroked="f" coordsize="21600,21600">
            <v:fill on="f" focussize="0,0"/>
            <v:stroke on="f"/>
            <v:imagedata o:title=""/>
            <o:lock v:ext="edit" aspectratio="t"/>
            <w10:wrap type="none"/>
            <w10:anchorlock/>
          </v:shape>
          <o:OLEObject Type="Link" ProgID="Excel.Sheet.12" ShapeID="_x0000_i1032" UpdateMode="Always" DrawAspect="Content" ObjectID="_1468075732" r:id="rId7">
            <o:LinkType>EnhancedMetaFile</o:LinkType>
            <o:LockedField>false</o:LockedField>
          </o:OLEObject>
        </w:object>
      </w:r>
      <w:r>
        <w:rPr>
          <w:rFonts w:ascii="仿宋_GB2312" w:hAnsi="华文仿宋" w:eastAsia="仿宋_GB2312"/>
          <w:color w:val="000000"/>
          <w:sz w:val="32"/>
          <w:szCs w:val="32"/>
        </w:rPr>
        <w:object>
          <v:shape id="_x0000_i1033" o:spt="75" type="#_x0000_t75" style="height:0.05pt;width:0.05pt;" o:ole="t" filled="f" stroked="f" coordsize="21600,21600">
            <v:fill on="f" focussize="0,0"/>
            <v:stroke on="f"/>
            <v:imagedata o:title=""/>
            <o:lock v:ext="edit" aspectratio="t"/>
            <w10:wrap type="none"/>
            <w10:anchorlock/>
          </v:shape>
          <o:OLEObject Type="Link" ProgID="Excel.Sheet.12" ShapeID="_x0000_i1033" UpdateMode="Always" DrawAspect="Content" ObjectID="_1468075733" r:id="rId7">
            <o:LinkType>EnhancedMetaFile</o:LinkType>
            <o:LockedField>false</o:LockedField>
          </o:OLEObject>
        </w:object>
      </w:r>
      <w:r>
        <w:rPr>
          <w:rFonts w:ascii="仿宋_GB2312" w:hAnsi="华文仿宋" w:eastAsia="仿宋_GB2312"/>
          <w:color w:val="000000"/>
          <w:sz w:val="32"/>
          <w:szCs w:val="32"/>
        </w:rPr>
        <w:object>
          <v:shape id="_x0000_i1034" o:spt="75" type="#_x0000_t75" style="height:0.05pt;width:0.05pt;" o:ole="t" filled="f" stroked="f" coordsize="21600,21600">
            <v:fill on="f" focussize="0,0"/>
            <v:stroke on="f"/>
            <v:imagedata o:title=""/>
            <o:lock v:ext="edit" aspectratio="t"/>
            <w10:wrap type="none"/>
            <w10:anchorlock/>
          </v:shape>
          <o:OLEObject Type="Link" ProgID="Excel.Sheet.12" ShapeID="_x0000_i1034" UpdateMode="Always" DrawAspect="Content" ObjectID="_1468075734" r:id="rId7">
            <o:LinkType>EnhancedMetaFile</o:LinkType>
            <o:LockedField>false</o:LockedField>
          </o:OLEObject>
        </w:object>
      </w:r>
      <w:r>
        <w:rPr>
          <w:rFonts w:ascii="仿宋_GB2312" w:hAnsi="华文仿宋" w:eastAsia="仿宋_GB2312"/>
          <w:color w:val="000000"/>
          <w:sz w:val="32"/>
          <w:szCs w:val="32"/>
        </w:rPr>
        <w:object>
          <v:shape id="_x0000_i1035" o:spt="75" type="#_x0000_t75" style="height:0.05pt;width:0.05pt;" o:ole="t" filled="f" stroked="f" coordsize="21600,21600">
            <v:fill on="f" focussize="0,0"/>
            <v:stroke on="f"/>
            <v:imagedata o:title=""/>
            <o:lock v:ext="edit" aspectratio="t"/>
            <w10:wrap type="none"/>
            <w10:anchorlock/>
          </v:shape>
          <o:OLEObject Type="Link" ProgID="Excel.Sheet.12" ShapeID="_x0000_i1035" UpdateMode="Always" DrawAspect="Content" ObjectID="_1468075735" r:id="rId7">
            <o:LinkType>EnhancedMetaFile</o:LinkType>
            <o:LockedField>false</o:LockedField>
          </o:OLEObject>
        </w:object>
      </w:r>
      <w:r>
        <w:rPr>
          <w:rFonts w:ascii="仿宋_GB2312" w:hAnsi="华文仿宋" w:eastAsia="仿宋_GB2312"/>
          <w:color w:val="000000"/>
          <w:sz w:val="32"/>
          <w:szCs w:val="32"/>
        </w:rPr>
        <w:object>
          <v:shape id="_x0000_i1025" o:spt="75" type="#_x0000_t75" style="height:254.7pt;width:394.6pt;" o:ole="t" filled="f" o:preferrelative="t" stroked="f" coordsize="21600,21600">
            <v:path/>
            <v:fill on="f" focussize="0,0"/>
            <v:stroke on="f"/>
            <v:imagedata r:id="rId8" gain="126030f" blacklevel="0f" o:title=""/>
            <o:lock v:ext="edit" aspectratio="t"/>
            <w10:wrap type="none"/>
            <w10:anchorlock/>
          </v:shape>
          <o:OLEObject Type="Link" ProgID="Excel.Sheet.12" ShapeID="_x0000_i1025" UpdateMode="Always" DrawAspect="Content" ObjectID="_1468075736" r:id="rId7">
            <o:LinkType>EnhancedMetaFile</o:LinkType>
            <o:LockedField>false</o:LockedField>
          </o:OLEObject>
        </w:object>
      </w:r>
    </w:p>
    <w:p>
      <w:pPr>
        <w:tabs>
          <w:tab w:val="left" w:pos="4200"/>
        </w:tabs>
        <w:autoSpaceDE w:val="0"/>
        <w:autoSpaceDN w:val="0"/>
        <w:adjustRightInd w:val="0"/>
        <w:spacing w:line="340" w:lineRule="exact"/>
        <w:jc w:val="center"/>
        <w:rPr>
          <w:rFonts w:hint="eastAsia" w:ascii="仿宋_GB2312" w:hAnsi="华文仿宋" w:eastAsia="仿宋_GB2312"/>
          <w:color w:val="000000"/>
          <w:sz w:val="28"/>
          <w:szCs w:val="28"/>
        </w:rPr>
      </w:pPr>
      <w:r>
        <w:rPr>
          <w:rFonts w:hint="default" w:ascii="Times New Roman" w:hAnsi="Times New Roman" w:eastAsia="黑体" w:cs="Times New Roman"/>
          <w:color w:val="000000"/>
          <w:sz w:val="28"/>
          <w:szCs w:val="28"/>
        </w:rPr>
        <w:t>2018～2022</w:t>
      </w:r>
      <w:r>
        <w:rPr>
          <w:rFonts w:hint="eastAsia" w:ascii="黑体" w:hAnsi="黑体" w:eastAsia="黑体" w:cs="黑体"/>
          <w:color w:val="000000"/>
          <w:sz w:val="28"/>
          <w:szCs w:val="28"/>
        </w:rPr>
        <w:t>年全国体育场地数量及面积</w:t>
      </w:r>
    </w:p>
    <w:p>
      <w:pPr>
        <w:tabs>
          <w:tab w:val="left" w:pos="4200"/>
        </w:tabs>
        <w:autoSpaceDE w:val="0"/>
        <w:autoSpaceDN w:val="0"/>
        <w:adjustRightInd w:val="0"/>
        <w:spacing w:line="420" w:lineRule="exact"/>
        <w:jc w:val="both"/>
        <w:rPr>
          <w:rFonts w:hint="default" w:ascii="Times New Roman" w:hAnsi="Times New Roman" w:eastAsia="黑体" w:cs="Times New Roman"/>
          <w:color w:val="000000"/>
          <w:sz w:val="28"/>
          <w:szCs w:val="28"/>
        </w:rPr>
      </w:pPr>
    </w:p>
    <w:p>
      <w:pPr>
        <w:tabs>
          <w:tab w:val="left" w:pos="4200"/>
        </w:tabs>
        <w:autoSpaceDE w:val="0"/>
        <w:autoSpaceDN w:val="0"/>
        <w:adjustRightInd w:val="0"/>
        <w:spacing w:line="420" w:lineRule="exact"/>
        <w:jc w:val="center"/>
        <w:rPr>
          <w:rFonts w:hint="default" w:ascii="Times New Roman" w:hAnsi="Times New Roman" w:eastAsia="黑体" w:cs="Times New Roman"/>
          <w:color w:val="000000"/>
          <w:sz w:val="32"/>
          <w:szCs w:val="32"/>
        </w:rPr>
      </w:pPr>
    </w:p>
    <w:p>
      <w:pPr>
        <w:tabs>
          <w:tab w:val="left" w:pos="4200"/>
        </w:tabs>
        <w:autoSpaceDE w:val="0"/>
        <w:autoSpaceDN w:val="0"/>
        <w:adjustRightInd w:val="0"/>
        <w:spacing w:line="420" w:lineRule="exact"/>
        <w:jc w:val="center"/>
        <w:rPr>
          <w:rFonts w:hint="eastAsia" w:eastAsia="仿宋_GB2312"/>
          <w:color w:val="000000"/>
          <w:sz w:val="28"/>
          <w:szCs w:val="28"/>
        </w:rPr>
      </w:pPr>
      <w:r>
        <w:rPr>
          <w:rFonts w:hint="default" w:ascii="Times New Roman" w:hAnsi="Times New Roman" w:eastAsia="黑体" w:cs="Times New Roman"/>
          <w:color w:val="000000"/>
          <w:sz w:val="28"/>
          <w:szCs w:val="28"/>
        </w:rPr>
        <w:t>2022</w:t>
      </w:r>
      <w:r>
        <w:rPr>
          <w:rFonts w:hint="eastAsia" w:ascii="黑体" w:hAnsi="黑体" w:eastAsia="黑体" w:cs="黑体"/>
          <w:color w:val="000000"/>
          <w:sz w:val="28"/>
          <w:szCs w:val="28"/>
        </w:rPr>
        <w:t>年全国主要分项体育场地数量</w:t>
      </w:r>
    </w:p>
    <w:tbl>
      <w:tblPr>
        <w:tblStyle w:val="8"/>
        <w:tblW w:w="73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316"/>
        <w:gridCol w:w="1663"/>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Align w:val="center"/>
          </w:tcPr>
          <w:p>
            <w:pPr>
              <w:tabs>
                <w:tab w:val="left" w:pos="4200"/>
              </w:tabs>
              <w:spacing w:line="360" w:lineRule="exact"/>
              <w:jc w:val="center"/>
              <w:rPr>
                <w:rFonts w:hint="eastAsia" w:ascii="黑体" w:hAnsi="黑体" w:eastAsia="黑体" w:cs="黑体"/>
                <w:b w:val="0"/>
                <w:bCs/>
                <w:color w:val="000000"/>
                <w:sz w:val="24"/>
                <w:szCs w:val="32"/>
              </w:rPr>
            </w:pPr>
            <w:r>
              <w:rPr>
                <w:rFonts w:hint="eastAsia" w:ascii="黑体" w:hAnsi="黑体" w:eastAsia="黑体" w:cs="黑体"/>
                <w:b w:val="0"/>
                <w:bCs/>
                <w:color w:val="000000"/>
                <w:sz w:val="24"/>
                <w:szCs w:val="32"/>
              </w:rPr>
              <w:t>体育场地类型</w:t>
            </w:r>
          </w:p>
        </w:tc>
        <w:tc>
          <w:tcPr>
            <w:tcW w:w="2316" w:type="dxa"/>
            <w:vAlign w:val="top"/>
          </w:tcPr>
          <w:p>
            <w:pPr>
              <w:tabs>
                <w:tab w:val="left" w:pos="4200"/>
              </w:tabs>
              <w:spacing w:line="360" w:lineRule="exact"/>
              <w:jc w:val="center"/>
              <w:rPr>
                <w:rFonts w:hint="eastAsia" w:ascii="黑体" w:hAnsi="黑体" w:eastAsia="黑体" w:cs="黑体"/>
                <w:b w:val="0"/>
                <w:bCs/>
                <w:color w:val="000000"/>
                <w:sz w:val="24"/>
                <w:szCs w:val="32"/>
              </w:rPr>
            </w:pPr>
            <w:r>
              <w:rPr>
                <w:rFonts w:hint="eastAsia" w:ascii="黑体" w:hAnsi="黑体" w:eastAsia="黑体" w:cs="黑体"/>
                <w:b w:val="0"/>
                <w:bCs/>
                <w:color w:val="000000"/>
                <w:sz w:val="24"/>
                <w:szCs w:val="32"/>
              </w:rPr>
              <w:t>运动项目</w:t>
            </w:r>
          </w:p>
        </w:tc>
        <w:tc>
          <w:tcPr>
            <w:tcW w:w="1663" w:type="dxa"/>
            <w:vAlign w:val="center"/>
          </w:tcPr>
          <w:p>
            <w:pPr>
              <w:tabs>
                <w:tab w:val="left" w:pos="4200"/>
              </w:tabs>
              <w:spacing w:line="360" w:lineRule="exact"/>
              <w:jc w:val="center"/>
              <w:rPr>
                <w:rFonts w:hint="eastAsia" w:ascii="黑体" w:hAnsi="黑体" w:eastAsia="黑体" w:cs="黑体"/>
                <w:b w:val="0"/>
                <w:bCs/>
                <w:color w:val="000000"/>
                <w:sz w:val="24"/>
                <w:szCs w:val="32"/>
              </w:rPr>
            </w:pPr>
            <w:r>
              <w:rPr>
                <w:rFonts w:hint="eastAsia" w:ascii="黑体" w:hAnsi="黑体" w:eastAsia="黑体" w:cs="黑体"/>
                <w:b w:val="0"/>
                <w:bCs/>
                <w:color w:val="000000"/>
                <w:sz w:val="24"/>
                <w:szCs w:val="32"/>
              </w:rPr>
              <w:t>单位</w:t>
            </w:r>
          </w:p>
        </w:tc>
        <w:tc>
          <w:tcPr>
            <w:tcW w:w="1543" w:type="dxa"/>
            <w:vAlign w:val="center"/>
          </w:tcPr>
          <w:p>
            <w:pPr>
              <w:tabs>
                <w:tab w:val="left" w:pos="4200"/>
              </w:tabs>
              <w:spacing w:line="360" w:lineRule="exact"/>
              <w:jc w:val="center"/>
              <w:rPr>
                <w:rFonts w:hint="eastAsia" w:ascii="黑体" w:hAnsi="黑体" w:eastAsia="黑体" w:cs="黑体"/>
                <w:b w:val="0"/>
                <w:bCs/>
                <w:color w:val="000000"/>
                <w:sz w:val="24"/>
                <w:szCs w:val="32"/>
              </w:rPr>
            </w:pPr>
            <w:r>
              <w:rPr>
                <w:rFonts w:hint="eastAsia" w:ascii="黑体" w:hAnsi="黑体" w:eastAsia="黑体" w:cs="黑体"/>
                <w:b w:val="0"/>
                <w:bCs/>
                <w:color w:val="000000"/>
                <w:sz w:val="24"/>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restart"/>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基础大项场地</w:t>
            </w:r>
          </w:p>
        </w:tc>
        <w:tc>
          <w:tcPr>
            <w:tcW w:w="2316" w:type="dxa"/>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田径场地</w:t>
            </w:r>
          </w:p>
        </w:tc>
        <w:tc>
          <w:tcPr>
            <w:tcW w:w="1663" w:type="dxa"/>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continue"/>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游泳场地</w:t>
            </w:r>
          </w:p>
        </w:tc>
        <w:tc>
          <w:tcPr>
            <w:tcW w:w="1663" w:type="dxa"/>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restart"/>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球类运动场地</w:t>
            </w:r>
          </w:p>
        </w:tc>
        <w:tc>
          <w:tcPr>
            <w:tcW w:w="2316" w:type="dxa"/>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足球场地</w:t>
            </w:r>
          </w:p>
        </w:tc>
        <w:tc>
          <w:tcPr>
            <w:tcW w:w="1663" w:type="dxa"/>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continue"/>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篮球场地</w:t>
            </w:r>
          </w:p>
        </w:tc>
        <w:tc>
          <w:tcPr>
            <w:tcW w:w="1663" w:type="dxa"/>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continue"/>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排球场地</w:t>
            </w:r>
          </w:p>
        </w:tc>
        <w:tc>
          <w:tcPr>
            <w:tcW w:w="1663" w:type="dxa"/>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continue"/>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乒乓球场地</w:t>
            </w:r>
          </w:p>
        </w:tc>
        <w:tc>
          <w:tcPr>
            <w:tcW w:w="1663" w:type="dxa"/>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93.53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continue"/>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羽毛球场地</w:t>
            </w:r>
          </w:p>
        </w:tc>
        <w:tc>
          <w:tcPr>
            <w:tcW w:w="1663" w:type="dxa"/>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24.61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continue"/>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其他球类运动场地</w:t>
            </w:r>
          </w:p>
        </w:tc>
        <w:tc>
          <w:tcPr>
            <w:tcW w:w="1663" w:type="dxa"/>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restart"/>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冰雪运动场地</w:t>
            </w:r>
          </w:p>
        </w:tc>
        <w:tc>
          <w:tcPr>
            <w:tcW w:w="2316" w:type="dxa"/>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滑冰场地</w:t>
            </w:r>
          </w:p>
        </w:tc>
        <w:tc>
          <w:tcPr>
            <w:tcW w:w="1663" w:type="dxa"/>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个</w:t>
            </w:r>
          </w:p>
        </w:tc>
        <w:tc>
          <w:tcPr>
            <w:tcW w:w="1543" w:type="dxa"/>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continue"/>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滑雪场地</w:t>
            </w:r>
          </w:p>
        </w:tc>
        <w:tc>
          <w:tcPr>
            <w:tcW w:w="1663" w:type="dxa"/>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个</w:t>
            </w:r>
          </w:p>
        </w:tc>
        <w:tc>
          <w:tcPr>
            <w:tcW w:w="1543" w:type="dxa"/>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restart"/>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体育健身场地</w:t>
            </w:r>
          </w:p>
        </w:tc>
        <w:tc>
          <w:tcPr>
            <w:tcW w:w="2316" w:type="dxa"/>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全民健身路径</w:t>
            </w:r>
          </w:p>
        </w:tc>
        <w:tc>
          <w:tcPr>
            <w:tcW w:w="1663" w:type="dxa"/>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98.02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continue"/>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健身房</w:t>
            </w:r>
          </w:p>
        </w:tc>
        <w:tc>
          <w:tcPr>
            <w:tcW w:w="1663" w:type="dxa"/>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6" w:type="dxa"/>
            <w:vMerge w:val="continue"/>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健身步道</w:t>
            </w:r>
          </w:p>
        </w:tc>
        <w:tc>
          <w:tcPr>
            <w:tcW w:w="1663" w:type="dxa"/>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12.78</w:t>
            </w:r>
          </w:p>
        </w:tc>
      </w:tr>
    </w:tbl>
    <w:p>
      <w:pPr>
        <w:keepNext w:val="0"/>
        <w:keepLines w:val="0"/>
        <w:pageBreakBefore w:val="0"/>
        <w:widowControl/>
        <w:kinsoku/>
        <w:wordWrap/>
        <w:overflowPunct/>
        <w:topLinePunct w:val="0"/>
        <w:autoSpaceDE/>
        <w:autoSpaceDN/>
        <w:bidi w:val="0"/>
        <w:adjustRightInd/>
        <w:snapToGrid/>
        <w:spacing w:line="620" w:lineRule="exact"/>
        <w:ind w:right="0" w:rightChars="0" w:firstLine="720" w:firstLineChars="200"/>
        <w:jc w:val="left"/>
        <w:textAlignment w:val="auto"/>
        <w:outlineLvl w:val="9"/>
        <w:rPr>
          <w:rFonts w:hint="eastAsia" w:ascii="Times New Roman" w:hAnsi="Times New Roman" w:eastAsia="仿宋_GB2312" w:cs="Times New Roman"/>
          <w:i w:val="0"/>
          <w:caps w:val="0"/>
          <w:color w:val="auto"/>
          <w:spacing w:val="0"/>
          <w:kern w:val="0"/>
          <w:sz w:val="36"/>
          <w:szCs w:val="36"/>
          <w:u w:val="none"/>
          <w:shd w:val="clear" w:color="auto" w:fill="FFFFFF"/>
          <w:lang w:val="en-US" w:eastAsia="zh-CN" w:bidi="ar"/>
        </w:rPr>
      </w:pP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6"/>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1．</w:t>
      </w:r>
      <w:r>
        <w:rPr>
          <w:rFonts w:hint="eastAsia" w:ascii="Times New Roman" w:hAnsi="Times New Roman" w:eastAsia="仿宋_GB2312" w:cs="Times New Roman"/>
          <w:i w:val="0"/>
          <w:caps w:val="0"/>
          <w:color w:val="auto"/>
          <w:spacing w:val="-6"/>
          <w:kern w:val="0"/>
          <w:sz w:val="32"/>
          <w:szCs w:val="32"/>
          <w:u w:val="none"/>
          <w:shd w:val="clear" w:color="auto" w:fill="FFFFFF"/>
          <w:lang w:val="en-US" w:eastAsia="zh-CN" w:bidi="ar"/>
        </w:rPr>
        <w:t>2019～2022年全国体育场地面积增长最快的年份是：</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A．2019年</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B．2020年</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C．2021年</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D．2022年</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（答案：A）</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2．2022年全国人均体育场地面积同比增量约为2018～2022年年均增长量的：</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A．108.7%</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B．110.5%</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C．115.6%</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D．118.2%</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（答案：B）</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3．2022年，按体育场地类型的数量，从大到小排位第二的约占全国体育场地数量的：</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A．5.4%</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B．23.2%</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C．29.6%</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 xml:space="preserve">   </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D．62.1%</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（答案：C）</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4．2022年，按运动项目划分场地数量之和最接近全国体育场地数量25%的是：</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A．游泳场地+全民健身路径</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B．健身步道+全民健身路径</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C．篮球场地+滑雪场地</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D．排球场地+乒乓球场地</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（答案：D）</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5．能够从上述资料推出的是：</w:t>
      </w:r>
    </w:p>
    <w:p>
      <w:pPr>
        <w:keepNext w:val="0"/>
        <w:keepLines w:val="0"/>
        <w:pageBreakBefore w:val="0"/>
        <w:widowControl/>
        <w:kinsoku/>
        <w:wordWrap/>
        <w:overflowPunct/>
        <w:topLinePunct w:val="0"/>
        <w:autoSpaceDE/>
        <w:autoSpaceDN/>
        <w:bidi w:val="0"/>
        <w:adjustRightInd/>
        <w:snapToGrid/>
        <w:spacing w:line="600" w:lineRule="exact"/>
        <w:ind w:right="0" w:rightChars="0" w:firstLine="596" w:firstLineChars="200"/>
        <w:jc w:val="left"/>
        <w:textAlignment w:val="auto"/>
        <w:outlineLvl w:val="9"/>
        <w:rPr>
          <w:rFonts w:hint="eastAsia" w:ascii="Times New Roman" w:hAnsi="Times New Roman" w:eastAsia="仿宋_GB2312" w:cs="Times New Roman"/>
          <w:i w:val="0"/>
          <w:caps w:val="0"/>
          <w:color w:val="auto"/>
          <w:spacing w:val="-11"/>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11"/>
          <w:kern w:val="0"/>
          <w:sz w:val="32"/>
          <w:szCs w:val="32"/>
          <w:u w:val="none"/>
          <w:shd w:val="clear" w:color="auto" w:fill="FFFFFF"/>
          <w:lang w:val="en-US" w:eastAsia="zh-CN" w:bidi="ar"/>
        </w:rPr>
        <w:t>A．2022年全国每个体育场地平均面积大于900平方米</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B．2022年足球、篮球、排球场地数量之和少于体育健身场地数量</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C．2022年全国体育场地数量同比增速比2021年提高了2个百分点</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D．2022年全国主要分项体育场地数量占全国体育场地数量的95%以上</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（答案：D）</w:t>
      </w:r>
    </w:p>
    <w:p>
      <w:pPr>
        <w:keepNext w:val="0"/>
        <w:keepLines w:val="0"/>
        <w:pageBreakBefore w:val="0"/>
        <w:widowControl/>
        <w:kinsoku/>
        <w:wordWrap/>
        <w:overflowPunct/>
        <w:topLinePunct w:val="0"/>
        <w:autoSpaceDE/>
        <w:autoSpaceDN/>
        <w:bidi w:val="0"/>
        <w:adjustRightInd/>
        <w:snapToGrid/>
        <w:spacing w:line="600" w:lineRule="exact"/>
        <w:ind w:firstLine="600"/>
        <w:jc w:val="left"/>
        <w:textAlignment w:val="auto"/>
        <w:rPr>
          <w:rFonts w:hint="eastAsia" w:ascii="黑体" w:hAnsi="黑体" w:eastAsia="黑体" w:cs="宋体"/>
          <w:bCs/>
          <w:color w:val="auto"/>
          <w:kern w:val="0"/>
          <w:sz w:val="32"/>
          <w:szCs w:val="32"/>
          <w:u w:val="none"/>
        </w:rPr>
      </w:pPr>
      <w:r>
        <w:rPr>
          <w:rFonts w:hint="eastAsia" w:ascii="黑体" w:hAnsi="黑体" w:eastAsia="黑体"/>
          <w:color w:val="auto"/>
          <w:sz w:val="32"/>
          <w:szCs w:val="32"/>
          <w:u w:val="none"/>
          <w:lang w:val="en-US" w:eastAsia="zh-CN"/>
        </w:rPr>
        <w:t xml:space="preserve"> </w:t>
      </w:r>
      <w:r>
        <w:rPr>
          <w:rFonts w:hint="eastAsia" w:ascii="黑体" w:hAnsi="黑体" w:eastAsia="黑体"/>
          <w:color w:val="auto"/>
          <w:sz w:val="32"/>
          <w:szCs w:val="32"/>
          <w:u w:val="none"/>
          <w:lang w:eastAsia="zh-CN"/>
        </w:rPr>
        <w:t>二</w:t>
      </w:r>
      <w:r>
        <w:rPr>
          <w:rFonts w:hint="eastAsia" w:ascii="黑体" w:hAnsi="黑体" w:eastAsia="黑体"/>
          <w:color w:val="auto"/>
          <w:sz w:val="32"/>
          <w:szCs w:val="32"/>
          <w:u w:val="none"/>
        </w:rPr>
        <w:t>、</w:t>
      </w:r>
      <w:r>
        <w:rPr>
          <w:rFonts w:ascii="黑体" w:hAnsi="黑体" w:eastAsia="黑体" w:cs="宋体"/>
          <w:bCs/>
          <w:color w:val="auto"/>
          <w:kern w:val="0"/>
          <w:sz w:val="32"/>
          <w:szCs w:val="32"/>
          <w:u w:val="none"/>
        </w:rPr>
        <w:t>申论</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申论试卷由“注意事项”、“给定资料”、“作答要求”三部分组成。“注意事项”是对申论试卷作答提出的重要指导性建议，包括试卷构成、作答时间、作答时需要特别注意的事项等。考试时，报考者应仔细阅读“注意事项”，遵守相关要求，合理把握作答时间，正确填写填涂姓名、准考证号等信息并在答题卡上正确的位置作答。“给定资料”是需要报考者阅读的有关材料，是完成“作答要求”的基础。“给定资料”所反映的是经济社会发展中的某些事例，对经济、政治、文化、社会、生态等方面都有可能涉及。“作答要求”是报考者在阅读“给定资料”的基础上需要完成的若干任务。</w:t>
      </w:r>
      <w:r>
        <w:rPr>
          <w:rFonts w:hint="eastAsia" w:ascii="仿宋_GB2312" w:eastAsia="仿宋_GB2312" w:cs="仿宋_GB2312"/>
          <w:sz w:val="32"/>
          <w:szCs w:val="32"/>
        </w:rPr>
        <w:t>作答时要一格一字，不得超出每道题目的作答字数限制。</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申论试卷按照省市级综合管理类、县乡级综合管理类和行政执法类三类职位，分别命制试题。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楷体_GB2312" w:hAnsi="微软雅黑" w:eastAsia="楷体_GB2312" w:cs="楷体_GB2312"/>
          <w:b w:val="0"/>
          <w:bCs w:val="0"/>
          <w:i w:val="0"/>
          <w:caps w:val="0"/>
          <w:color w:val="auto"/>
          <w:spacing w:val="0"/>
          <w:kern w:val="0"/>
          <w:sz w:val="32"/>
          <w:szCs w:val="32"/>
          <w:u w:val="none"/>
          <w:shd w:val="clear" w:color="auto" w:fill="FFFFFF"/>
          <w:lang w:val="en-US" w:eastAsia="zh-CN" w:bidi="ar"/>
        </w:rPr>
        <w:t>（一）省市级综合管理类职位。</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主要测查报考者的阅读理解能力、综合分析能力、提出和解决问题能力、文字表达能力。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7"/>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阅读理解能力</w:t>
      </w:r>
      <w:r>
        <w:rPr>
          <w:rStyle w:val="7"/>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全面把握给定资料的相关内容，准确理解给定资料的含义，准确提炼事实所包含的观点，并揭示所反映的本质问题。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Style w:val="7"/>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综合分析能力</w:t>
      </w:r>
      <w:r>
        <w:rPr>
          <w:rStyle w:val="7"/>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对给定资料的全部或部分的内容、观点或问题进行分析和归纳，多角度地思考资料内容，作出合理的推断或评价。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Style w:val="7"/>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pPr>
      <w:r>
        <w:rPr>
          <w:rStyle w:val="7"/>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提出和解决问题能力</w:t>
      </w:r>
      <w:r>
        <w:rPr>
          <w:rStyle w:val="7"/>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准确理</w:t>
      </w:r>
      <w:r>
        <w:rPr>
          <w:rStyle w:val="7"/>
          <w:rFonts w:hint="eastAsia" w:ascii="仿宋_GB2312" w:hAnsi="微软雅黑" w:eastAsia="仿宋_GB2312" w:cs="仿宋_GB2312"/>
          <w:b w:val="0"/>
          <w:bCs w:val="0"/>
          <w:i w:val="0"/>
          <w:caps w:val="0"/>
          <w:color w:val="auto"/>
          <w:spacing w:val="0"/>
          <w:kern w:val="0"/>
          <w:sz w:val="32"/>
          <w:szCs w:val="32"/>
          <w:u w:val="none"/>
          <w:shd w:val="clear" w:color="auto" w:fill="FFFFFF"/>
          <w:lang w:val="en-US" w:eastAsia="zh-CN" w:bidi="ar"/>
        </w:rPr>
        <w:t>解把握给定资料所反映的问题，提出解决问题的措施或办法。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7"/>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文字表达能力</w:t>
      </w:r>
      <w:r>
        <w:rPr>
          <w:rStyle w:val="7"/>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熟练使用指定的语种，运用说明、陈述、议论等方式，准确规范、简明畅达地表述思想观点。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ascii="Times New Roman" w:hAnsi="Times New Roman" w:eastAsia="宋体" w:cs="Times New Roman"/>
          <w:color w:val="auto"/>
          <w:kern w:val="0"/>
          <w:sz w:val="32"/>
          <w:szCs w:val="32"/>
          <w:u w:val="none"/>
          <w:lang w:val="en-US" w:eastAsia="zh-CN" w:bidi="ar"/>
        </w:rPr>
      </w:pPr>
      <w:r>
        <w:rPr>
          <w:rFonts w:hint="eastAsia" w:ascii="楷体_GB2312" w:hAnsi="微软雅黑" w:eastAsia="楷体_GB2312" w:cs="楷体_GB2312"/>
          <w:b w:val="0"/>
          <w:bCs w:val="0"/>
          <w:i w:val="0"/>
          <w:caps w:val="0"/>
          <w:color w:val="auto"/>
          <w:spacing w:val="-6"/>
          <w:kern w:val="0"/>
          <w:sz w:val="32"/>
          <w:szCs w:val="32"/>
          <w:u w:val="none"/>
          <w:shd w:val="clear" w:color="auto" w:fill="FFFFFF"/>
          <w:lang w:val="en-US" w:eastAsia="zh-CN" w:bidi="ar"/>
        </w:rPr>
        <w:t>（二）县乡级综合管理类职位。</w:t>
      </w:r>
      <w:r>
        <w:rPr>
          <w:rFonts w:hint="eastAsia" w:ascii="仿宋_GB2312" w:hAnsi="微软雅黑" w:eastAsia="仿宋_GB2312" w:cs="仿宋_GB2312"/>
          <w:i w:val="0"/>
          <w:caps w:val="0"/>
          <w:color w:val="auto"/>
          <w:spacing w:val="-6"/>
          <w:kern w:val="0"/>
          <w:sz w:val="32"/>
          <w:szCs w:val="32"/>
          <w:u w:val="none"/>
          <w:shd w:val="clear" w:color="auto" w:fill="FFFFFF"/>
          <w:lang w:val="en-US" w:eastAsia="zh-CN" w:bidi="ar"/>
        </w:rPr>
        <w:t>主要测查报考者的阅读理解能力、贯彻执行能力、解决问题能力和文字表达能力。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7"/>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阅读理解能力</w:t>
      </w:r>
      <w:r>
        <w:rPr>
          <w:rStyle w:val="7"/>
          <w:rFonts w:hint="default" w:ascii="Times New Roman" w:hAnsi="Times New Roman" w:eastAsia="仿宋_GB2312" w:cs="Times New Roman"/>
          <w:b/>
          <w:bCs/>
          <w:i w:val="0"/>
          <w:caps w:val="0"/>
          <w:color w:val="auto"/>
          <w:spacing w:val="0"/>
          <w:kern w:val="0"/>
          <w:sz w:val="32"/>
          <w:szCs w:val="32"/>
          <w:u w:val="none"/>
          <w:shd w:val="clear" w:color="auto" w:fill="FFFFFF"/>
          <w:lang w:val="en-US" w:eastAsia="zh-CN" w:bidi="ar"/>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能够理解给定资料的主要内容，把握给定资料各部分之间的关系，对给定资料所涉及的观点、事实作出恰当的解释。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7"/>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贯彻执行能力</w:t>
      </w:r>
      <w:r>
        <w:rPr>
          <w:rStyle w:val="7"/>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能够准确理解工作目标和组织意图，遵循依法行政的原则，根据客观实际情况，及时有效地完成任务。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7"/>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解决问题能力</w:t>
      </w:r>
      <w:r>
        <w:rPr>
          <w:rStyle w:val="7"/>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对给定资料所反映的问题进行分析，并提出解决的措施或办法。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7"/>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文字表达能力</w:t>
      </w:r>
      <w:r>
        <w:rPr>
          <w:rStyle w:val="7"/>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熟练使用指定的语种，对事件、观点进行准确合理的说明、陈述或阐释。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ascii="Times New Roman" w:hAnsi="Times New Roman" w:eastAsia="宋体" w:cs="Times New Roman"/>
          <w:color w:val="auto"/>
          <w:kern w:val="0"/>
          <w:sz w:val="32"/>
          <w:szCs w:val="32"/>
          <w:u w:val="none"/>
          <w:lang w:val="en-US" w:eastAsia="zh-CN" w:bidi="ar"/>
        </w:rPr>
      </w:pPr>
      <w:r>
        <w:rPr>
          <w:rFonts w:hint="eastAsia" w:ascii="楷体_GB2312" w:hAnsi="微软雅黑" w:eastAsia="楷体_GB2312" w:cs="楷体_GB2312"/>
          <w:b w:val="0"/>
          <w:bCs w:val="0"/>
          <w:i w:val="0"/>
          <w:caps w:val="0"/>
          <w:color w:val="auto"/>
          <w:spacing w:val="0"/>
          <w:kern w:val="0"/>
          <w:sz w:val="32"/>
          <w:szCs w:val="32"/>
          <w:u w:val="none"/>
          <w:shd w:val="clear" w:color="auto" w:fill="FFFFFF"/>
          <w:lang w:val="en-US" w:eastAsia="zh-CN" w:bidi="ar"/>
        </w:rPr>
        <w:t>（三）行政执法类职位。</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主要测查报考者的阅读理解能力、依法办事能力、公共服务能力和文字表达能力。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pPr>
      <w:r>
        <w:rPr>
          <w:rStyle w:val="7"/>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阅读理解能力</w:t>
      </w:r>
      <w:r>
        <w:rPr>
          <w:rStyle w:val="7"/>
          <w:rFonts w:hint="default" w:ascii="Times New Roman" w:hAnsi="Times New Roman" w:eastAsia="仿宋_GB2312" w:cs="Times New Roman"/>
          <w:b/>
          <w:bCs/>
          <w:i w:val="0"/>
          <w:caps w:val="0"/>
          <w:color w:val="auto"/>
          <w:spacing w:val="0"/>
          <w:kern w:val="0"/>
          <w:sz w:val="32"/>
          <w:szCs w:val="32"/>
          <w:u w:val="none"/>
          <w:shd w:val="clear" w:color="auto" w:fill="FFFFFF"/>
          <w:lang w:val="en-US" w:eastAsia="zh-CN" w:bidi="ar"/>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准确理解归纳给定资料的主要内容，对所涉及的观点和事实进行恰当的解释，并作出合理的推断。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pPr>
      <w:r>
        <w:rPr>
          <w:rStyle w:val="7"/>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依法办事能力</w:t>
      </w:r>
      <w:r>
        <w:rPr>
          <w:rStyle w:val="7"/>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遵循依法行政的原则，综合运用恰当有效的方法完成任务、解决问题、实现目标。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pPr>
      <w:r>
        <w:rPr>
          <w:rStyle w:val="7"/>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公共服务能力</w:t>
      </w:r>
      <w:r>
        <w:rPr>
          <w:rStyle w:val="7"/>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能够全面准确了解公众需求和愿望，灵活运用各种措施和办法为公众提供优质、高效、便捷的服务。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黑体" w:cs="Times New Roman"/>
          <w:sz w:val="32"/>
          <w:szCs w:val="32"/>
          <w:u w:val="none"/>
        </w:rPr>
      </w:pPr>
      <w:r>
        <w:rPr>
          <w:rStyle w:val="7"/>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文字表达能力</w:t>
      </w:r>
      <w:r>
        <w:rPr>
          <w:rStyle w:val="7"/>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熟练使用指定的语种，对事件、观点进行准确合理的说明、陈述或阐释。</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textAlignment w:val="auto"/>
        <w:rPr>
          <w:rFonts w:hint="default" w:ascii="Times New Roman" w:hAnsi="Times New Roman" w:eastAsia="仿宋_GB2312" w:cs="Times New Roman"/>
          <w:sz w:val="36"/>
          <w:szCs w:val="36"/>
        </w:rPr>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00"/>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行楷">
    <w:altName w:val="微软雅黑"/>
    <w:panose1 w:val="02010800040101010101"/>
    <w:charset w:val="00"/>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3E0993"/>
    <w:rsid w:val="1AE40C07"/>
    <w:rsid w:val="2CFF2B23"/>
    <w:rsid w:val="364E6647"/>
    <w:rsid w:val="5F6D3FAC"/>
    <w:rsid w:val="5FFBA912"/>
    <w:rsid w:val="5FFE8E06"/>
    <w:rsid w:val="72496520"/>
    <w:rsid w:val="77F72AD7"/>
    <w:rsid w:val="7A5E3204"/>
    <w:rsid w:val="7FBE61D4"/>
    <w:rsid w:val="AA46126F"/>
    <w:rsid w:val="B7FDC65B"/>
    <w:rsid w:val="BF9E8EDA"/>
    <w:rsid w:val="E73E0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file:///C:\Users\Lenovo\Desktop\&#36164;&#26009;&#20998;&#26512;&#65288;&#21016;&#21494;&#24535;%202023.07.10&#65289;\&#22270;&#12289;&#34920;&#28304;&#25991;&#20214;&#65288;&#21016;&#21494;&#24535;%202023.07.10&#65289;\&#31532;&#20108;&#39064;\2018&#24180;-2022&#24180;&#20840;&#22269;&#20307;&#32946;&#22330;&#22320;&#25968;&#37327;&#21450;&#38754;&#31215;.xlsx!Sheet1!%5b2018&#24180;-2022&#24180;&#20840;&#22269;&#20307;&#32946;&#22330;&#22320;&#25968;&#37327;&#21450;&#38754;&#31215;.xlsx%5dSheet1%20&#22270;&#34920;%201" TargetMode="Externa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2025-01-11T18:42:00Z</dcterms:created>
  <dc:creator>zzb</dc:creator>
  <cp:lastModifiedBy>WXR</cp:lastModifiedBy>
  <cp:lastPrinted>2025-01-18T04:00:00Z</cp:lastPrinted>
  <dcterms:modified xsi:type="dcterms:W3CDTF">2025-01-24T05:29:34Z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9E92F96B8B3722978D567E679A4B7A4C</vt:lpwstr>
  </property>
</Properties>
</file>